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F4C9C" w14:textId="77777777" w:rsidR="003214A7" w:rsidRDefault="003214A7" w:rsidP="6922EE43">
      <w:pPr>
        <w:jc w:val="center"/>
        <w:rPr>
          <w:b/>
        </w:rPr>
      </w:pPr>
    </w:p>
    <w:p w14:paraId="5A3DF5D2" w14:textId="237FD29B"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131D0C">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31D0C">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31D0C">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31D0C">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31D0C">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31D0C">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31D0C">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31D0C">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31D0C">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31D0C">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31D0C">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31D0C">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31D0C">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31D0C">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31D0C">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31D0C">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31D0C">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31D0C">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31D0C">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31D0C">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31D0C">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31D0C">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31D0C">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31D0C">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31D0C">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31D0C">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31D0C">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31D0C">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31D0C">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31D0C">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31D0C">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31D0C">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31D0C">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31D0C">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31D0C">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31D0C">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31D0C">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31D0C">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31D0C">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31D0C">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31D0C">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31D0C">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31D0C">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31D0C">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31D0C">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31D0C">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31D0C">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3" w:name="_Toc198223600"/>
      <w:r w:rsidRPr="00093CA9">
        <w:lastRenderedPageBreak/>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29C6ED8" w:rsidR="00093CA9" w:rsidRDefault="00DE4422" w:rsidP="00093CA9">
            <w:r w:rsidRPr="00DE4422">
              <w:t>Federal Output-Based Pricing System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B0DD3B8" w14:textId="2640B23D" w:rsidR="00093CA9" w:rsidRPr="0006165D" w:rsidRDefault="00131D0C" w:rsidP="00093CA9">
            <w:pPr>
              <w:rPr>
                <w:rStyle w:val="Hyperlink"/>
              </w:rPr>
            </w:pPr>
            <w:hyperlink r:id="rId19" w:history="1">
              <w:r w:rsidR="0020152F" w:rsidRPr="0006165D">
                <w:rPr>
                  <w:rStyle w:val="Hyperlink"/>
                </w:rPr>
                <w:t>Canada.ca - Output-Based Pricing System</w:t>
              </w:r>
            </w:hyperlink>
          </w:p>
          <w:p w14:paraId="05072248" w14:textId="77777777" w:rsidR="003214A7" w:rsidRDefault="00131D0C" w:rsidP="00093CA9">
            <w:hyperlink r:id="rId20" w:history="1">
              <w:r w:rsidR="003214A7" w:rsidRPr="003214A7">
                <w:rPr>
                  <w:rStyle w:val="Hyperlink"/>
                </w:rPr>
                <w:t>Federal OBPS Regulations</w:t>
              </w:r>
            </w:hyperlink>
          </w:p>
          <w:p w14:paraId="1523C232" w14:textId="3CAD600C" w:rsidR="00C4516E" w:rsidRPr="003214A7" w:rsidRDefault="00131D0C" w:rsidP="00093CA9">
            <w:hyperlink r:id="rId21" w:history="1">
              <w:r w:rsidR="00C4516E" w:rsidRPr="00C4516E">
                <w:rPr>
                  <w:rStyle w:val="Hyperlink"/>
                </w:rPr>
                <w:t>Review of the federal OBPS Regulations</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551F05" w:rsidR="00093CA9" w:rsidRDefault="00DE4422"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B748E58" w14:textId="3F0EE554" w:rsidR="007B446F" w:rsidRDefault="007B446F" w:rsidP="00093CA9">
            <w:r>
              <w:t xml:space="preserve">The federal OBPS is designed to ensure there is a price incentive for industrial emitters to reduce their greenhouse gas emissions and spur innovation while maintaining competitiveness and protecting against “carbon leakage”. This is one of the two parts of the federal carbon pollution pricing system under the </w:t>
            </w:r>
            <w:r>
              <w:rPr>
                <w:i/>
                <w:iCs/>
              </w:rPr>
              <w:t>Greenhouse Gas Pollution Pricing Act</w:t>
            </w:r>
            <w:r>
              <w:t xml:space="preserve"> (GGPPA).</w:t>
            </w:r>
          </w:p>
          <w:p w14:paraId="16CC30F5" w14:textId="77777777" w:rsidR="007B446F" w:rsidRDefault="007B446F" w:rsidP="00093CA9"/>
          <w:p w14:paraId="498A5B98" w14:textId="5237CA74" w:rsidR="007B446F" w:rsidRDefault="007B446F" w:rsidP="00093CA9">
            <w:r>
              <w:t xml:space="preserve">Under the OBPS, persons responsible for covered facilities are required to provide compensation at the prescribed rate for GHG emissions that exceed the facility’s annual emissions limit. </w:t>
            </w:r>
          </w:p>
          <w:p w14:paraId="4F9776CC" w14:textId="77777777" w:rsidR="001113AE" w:rsidRDefault="001113AE" w:rsidP="00093CA9"/>
          <w:p w14:paraId="47A32CC6" w14:textId="382CC46D" w:rsidR="001113AE" w:rsidRPr="001113AE" w:rsidRDefault="001113AE" w:rsidP="00093CA9">
            <w:r>
              <w:t xml:space="preserve">Additionally, under s. 175 of the </w:t>
            </w:r>
            <w:r>
              <w:rPr>
                <w:i/>
                <w:iCs/>
              </w:rPr>
              <w:t>GGPPA</w:t>
            </w:r>
            <w:r>
              <w:t>, the Minister of Environment and Climate Change issues surplus credits to persons responsible for covered facilities whose emissions are lower than the applicable emissions limit.</w:t>
            </w:r>
            <w:r w:rsidR="00834266">
              <w:t xml:space="preserve"> These surplus credits can be transferred and remit</w:t>
            </w:r>
            <w:r w:rsidR="003214A7">
              <w:t xml:space="preserve"> against compensation obligations.</w:t>
            </w:r>
          </w:p>
          <w:p w14:paraId="18257824" w14:textId="13E93275" w:rsidR="007B446F" w:rsidRDefault="007B446F"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C01EFF" w:rsidR="00093CA9" w:rsidRDefault="0020152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D2576C4"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667A638" w:rsidR="00093CA9" w:rsidRPr="00173D7C" w:rsidRDefault="0020152F" w:rsidP="00093CA9">
            <w:pPr>
              <w:rPr>
                <w:color w:val="000000" w:themeColor="text1"/>
              </w:rPr>
            </w:pPr>
            <w:r>
              <w:rPr>
                <w:color w:val="000000" w:themeColor="text1"/>
              </w:rPr>
              <w:t>20</w:t>
            </w:r>
            <w:r w:rsidR="007B446F">
              <w:rPr>
                <w:color w:val="000000" w:themeColor="text1"/>
              </w:rPr>
              <w:t>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69F43AD5" w:rsidR="00093CA9" w:rsidRPr="00173D7C" w:rsidRDefault="00093CA9" w:rsidP="00093CA9">
            <w:pPr>
              <w:rPr>
                <w:color w:val="000000" w:themeColor="text1"/>
              </w:rPr>
            </w:pPr>
          </w:p>
        </w:tc>
        <w:tc>
          <w:tcPr>
            <w:tcW w:w="9169" w:type="dxa"/>
            <w:gridSpan w:val="4"/>
            <w:shd w:val="clear" w:color="auto" w:fill="auto"/>
            <w:vAlign w:val="center"/>
          </w:tcPr>
          <w:p w14:paraId="5AD2325B" w14:textId="4D83866B" w:rsidR="00093CA9" w:rsidRPr="00173D7C" w:rsidRDefault="0020152F" w:rsidP="00093CA9">
            <w:pPr>
              <w:rPr>
                <w:color w:val="000000" w:themeColor="text1"/>
              </w:rPr>
            </w:pPr>
            <w:r>
              <w:rPr>
                <w:color w:val="000000" w:themeColor="text1"/>
              </w:rPr>
              <w:t>20</w:t>
            </w:r>
            <w:r w:rsidR="007B446F">
              <w:rPr>
                <w:color w:val="000000" w:themeColor="text1"/>
              </w:rPr>
              <w:t>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CBA064E" w:rsidR="00093CA9" w:rsidRDefault="00C32B6A" w:rsidP="00093CA9">
            <w:r>
              <w:t xml:space="preserve">Environment and Climate Change Canada (ECCC), a </w:t>
            </w:r>
            <w:r w:rsidR="007E24B4">
              <w:t>Ministry</w:t>
            </w:r>
            <w:r w:rsidR="007B446F">
              <w:t xml:space="preserve"> of the Government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2662FD4" w:rsidR="00093CA9" w:rsidRPr="006B7B0D" w:rsidRDefault="007B446F" w:rsidP="00093CA9">
            <w:r>
              <w:t>E</w:t>
            </w:r>
            <w:r w:rsidR="007E24B4">
              <w:t>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A6E7449" w:rsidR="00093CA9" w:rsidRPr="006B7B0D" w:rsidRDefault="007B446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E1855BE" w:rsidR="00093CA9" w:rsidRDefault="0083426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44536EB" w14:textId="77777777" w:rsidR="00093CA9" w:rsidRDefault="00834266" w:rsidP="00093CA9">
            <w:pPr>
              <w:keepNext/>
              <w:rPr>
                <w:color w:val="000000" w:themeColor="text1"/>
              </w:rPr>
            </w:pPr>
            <w:r>
              <w:rPr>
                <w:color w:val="000000" w:themeColor="text1"/>
              </w:rPr>
              <w:t xml:space="preserve">Persons responsible for covered facilities under the OBPS are required to open an OBPS account in the Credit and Tracking Systems (CATS), which tracks compliance obligations, credit issuance and transfers, and remittance of compliance units and excess emission charge payments. </w:t>
            </w:r>
            <w:r w:rsidR="00305C97">
              <w:rPr>
                <w:color w:val="000000" w:themeColor="text1"/>
              </w:rPr>
              <w:t>This is managed by the ECCC.</w:t>
            </w:r>
          </w:p>
          <w:p w14:paraId="02E18929" w14:textId="77777777" w:rsidR="00C32B6A" w:rsidRDefault="00C32B6A" w:rsidP="00093CA9">
            <w:pPr>
              <w:keepNext/>
              <w:rPr>
                <w:color w:val="000000" w:themeColor="text1"/>
              </w:rPr>
            </w:pPr>
          </w:p>
          <w:p w14:paraId="2C2128DB" w14:textId="1C4D1FEA" w:rsidR="00F73FF0" w:rsidRPr="008017F9" w:rsidRDefault="00F73FF0" w:rsidP="00093CA9">
            <w:pPr>
              <w:keepNext/>
              <w:rPr>
                <w:color w:val="000000" w:themeColor="text1"/>
              </w:rPr>
            </w:pPr>
            <w:r>
              <w:rPr>
                <w:color w:val="000000" w:themeColor="text1"/>
              </w:rPr>
              <w:t xml:space="preserve">Additionally, according to section 11(1), the person responsible for a covered facility must submit an annual report including the total quantity of GHGs, the covered facility’s </w:t>
            </w:r>
            <w:r>
              <w:rPr>
                <w:color w:val="000000" w:themeColor="text1"/>
              </w:rPr>
              <w:lastRenderedPageBreak/>
              <w:t xml:space="preserve">production during the compliance period, as well as other information. </w:t>
            </w:r>
            <w:r w:rsidR="008E45C8">
              <w:rPr>
                <w:color w:val="000000" w:themeColor="text1"/>
              </w:rPr>
              <w:t>Third party verification bodies will verify these annual reports, per section 13(1).</w:t>
            </w:r>
          </w:p>
        </w:tc>
      </w:tr>
    </w:tbl>
    <w:p w14:paraId="6F36141D" w14:textId="193F21DA" w:rsidR="005F3137" w:rsidRDefault="005F3137"/>
    <w:p w14:paraId="4E5E0234" w14:textId="5F707638" w:rsidR="00A40404" w:rsidRDefault="005E50FD" w:rsidP="00A40404">
      <w:pPr>
        <w:pStyle w:val="Heading1"/>
      </w:pPr>
      <w:r>
        <w:br w:type="page"/>
      </w:r>
      <w:bookmarkStart w:id="4" w:name="_Toc198223601"/>
      <w:r w:rsidR="00A40404">
        <w:lastRenderedPageBreak/>
        <w:t>Domain 1: Climate-Related Disclosure</w:t>
      </w:r>
      <w:bookmarkEnd w:id="4"/>
    </w:p>
    <w:p w14:paraId="74977052" w14:textId="07875EE2"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5358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
    </w:tbl>
    <w:p w14:paraId="3E15F58C" w14:textId="77777777" w:rsidR="007B1CB8" w:rsidRDefault="007B1CB8"/>
    <w:p w14:paraId="0CE09BD1" w14:textId="632528A3"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9" w:name="_Toc198223605"/>
      <w:r>
        <w:lastRenderedPageBreak/>
        <w:t>Domain 2: Transition Planning</w:t>
      </w:r>
      <w:bookmarkEnd w:id="9"/>
    </w:p>
    <w:p w14:paraId="0CA57B64" w14:textId="2923536F"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5358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6" w:name="_Toc198223612"/>
      <w:r>
        <w:lastRenderedPageBreak/>
        <w:t>Domain 3: Public Procurement</w:t>
      </w:r>
      <w:bookmarkEnd w:id="16"/>
      <w:r>
        <w:t xml:space="preserve"> </w:t>
      </w:r>
    </w:p>
    <w:p w14:paraId="0D8B4B9F" w14:textId="5E2943CF"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5358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w:t>
            </w:r>
            <w:r w:rsidRPr="00610F28">
              <w:rPr>
                <w:rStyle w:val="normaltextrun"/>
                <w:rFonts w:ascii="Calibri" w:hAnsi="Calibri" w:cs="Calibri"/>
                <w:lang w:val="en-US"/>
              </w:rPr>
              <w:lastRenderedPageBreak/>
              <w:t xml:space="preserve">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lastRenderedPageBreak/>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3" w:name="_Toc198223617"/>
      <w:r>
        <w:lastRenderedPageBreak/>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8" w:name="_Toc198223622"/>
      <w:r>
        <w:lastRenderedPageBreak/>
        <w:t>Domain 4: Carbon Credits</w:t>
      </w:r>
      <w:bookmarkEnd w:id="28"/>
    </w:p>
    <w:p w14:paraId="25C35D8C" w14:textId="52BD279F"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2A1DF255"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r w:rsidR="007E24B4">
              <w:rPr>
                <w:rStyle w:val="FootnoteReference"/>
                <w:rFonts w:ascii="Calibri" w:hAnsi="Calibri" w:cs="Calibri"/>
              </w:rPr>
              <w:footnoteReference w:id="2"/>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893B1DC" w:rsidR="00D4323A" w:rsidRPr="008E45C8" w:rsidRDefault="00D4323A" w:rsidP="00CF2E7C">
            <w:pPr>
              <w:rPr>
                <w:rFonts w:ascii="Calibri" w:hAnsi="Calibri" w:cs="Calibri"/>
              </w:rPr>
            </w:pPr>
          </w:p>
        </w:tc>
        <w:tc>
          <w:tcPr>
            <w:tcW w:w="1674" w:type="dxa"/>
            <w:vAlign w:val="center"/>
          </w:tcPr>
          <w:p w14:paraId="38FE491C" w14:textId="73D32C20" w:rsidR="00D4323A" w:rsidRPr="00CF2E7C" w:rsidRDefault="00D4323A" w:rsidP="00CF2E7C">
            <w:pPr>
              <w:rPr>
                <w:rFonts w:ascii="Calibri" w:hAnsi="Calibri" w:cs="Calibri"/>
              </w:rPr>
            </w:pPr>
          </w:p>
        </w:tc>
        <w:tc>
          <w:tcPr>
            <w:tcW w:w="1723" w:type="dxa"/>
            <w:vAlign w:val="center"/>
          </w:tcPr>
          <w:p w14:paraId="0E4790F0" w14:textId="051B3FF5" w:rsidR="00D4323A" w:rsidRPr="00CF2E7C" w:rsidRDefault="00436AEE"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1715739" w:rsidR="00D4323A" w:rsidRPr="00CF2E7C" w:rsidRDefault="00D4323A" w:rsidP="00CF2E7C">
            <w:pPr>
              <w:rPr>
                <w:rFonts w:ascii="Calibri" w:hAnsi="Calibri" w:cs="Calibri"/>
              </w:rPr>
            </w:pPr>
          </w:p>
        </w:tc>
        <w:tc>
          <w:tcPr>
            <w:tcW w:w="1674" w:type="dxa"/>
            <w:vAlign w:val="center"/>
          </w:tcPr>
          <w:p w14:paraId="2EBF25E0" w14:textId="494193E2" w:rsidR="00D4323A" w:rsidRPr="00CF2E7C" w:rsidRDefault="00D4323A" w:rsidP="00CF2E7C">
            <w:pPr>
              <w:rPr>
                <w:rFonts w:ascii="Calibri" w:hAnsi="Calibri" w:cs="Calibri"/>
              </w:rPr>
            </w:pPr>
          </w:p>
        </w:tc>
        <w:tc>
          <w:tcPr>
            <w:tcW w:w="1723" w:type="dxa"/>
            <w:vAlign w:val="center"/>
          </w:tcPr>
          <w:p w14:paraId="761CE175" w14:textId="742BE88A" w:rsidR="00D4323A" w:rsidRPr="00CF2E7C" w:rsidRDefault="00436AEE"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3B4D1024" w:rsidR="00D4323A" w:rsidRPr="00CF2E7C" w:rsidRDefault="00305C97"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384F73C" w:rsidR="00D4323A" w:rsidRPr="00CF2E7C" w:rsidRDefault="00D4323A" w:rsidP="00CF2E7C">
            <w:pPr>
              <w:rPr>
                <w:rFonts w:ascii="Calibri" w:hAnsi="Calibri" w:cs="Calibri"/>
              </w:rPr>
            </w:pPr>
          </w:p>
        </w:tc>
        <w:tc>
          <w:tcPr>
            <w:tcW w:w="1674" w:type="dxa"/>
            <w:vAlign w:val="center"/>
          </w:tcPr>
          <w:p w14:paraId="550F0882" w14:textId="5DEA0FD2" w:rsidR="00D4323A" w:rsidRPr="00CF2E7C" w:rsidRDefault="00D4323A" w:rsidP="00CF2E7C">
            <w:pPr>
              <w:rPr>
                <w:rFonts w:ascii="Calibri" w:hAnsi="Calibri" w:cs="Calibri"/>
              </w:rPr>
            </w:pPr>
          </w:p>
        </w:tc>
        <w:tc>
          <w:tcPr>
            <w:tcW w:w="1723" w:type="dxa"/>
            <w:vAlign w:val="center"/>
          </w:tcPr>
          <w:p w14:paraId="3CC6459C" w14:textId="2F0D9CFA" w:rsidR="00D4323A" w:rsidRPr="00CF2E7C" w:rsidRDefault="00436AEE"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84BF70A" w:rsidR="00D4323A" w:rsidRPr="00CF2E7C" w:rsidRDefault="00D4323A" w:rsidP="00CF2E7C">
            <w:pPr>
              <w:rPr>
                <w:rFonts w:ascii="Calibri" w:hAnsi="Calibri" w:cs="Calibri"/>
              </w:rPr>
            </w:pPr>
          </w:p>
        </w:tc>
        <w:tc>
          <w:tcPr>
            <w:tcW w:w="1674" w:type="dxa"/>
            <w:vAlign w:val="center"/>
          </w:tcPr>
          <w:p w14:paraId="45D2C527" w14:textId="776DC593" w:rsidR="00D4323A" w:rsidRPr="00CF2E7C" w:rsidRDefault="00D4323A" w:rsidP="00CF2E7C">
            <w:pPr>
              <w:rPr>
                <w:rFonts w:ascii="Calibri" w:hAnsi="Calibri" w:cs="Calibri"/>
              </w:rPr>
            </w:pPr>
          </w:p>
        </w:tc>
        <w:tc>
          <w:tcPr>
            <w:tcW w:w="1723" w:type="dxa"/>
            <w:vAlign w:val="center"/>
          </w:tcPr>
          <w:p w14:paraId="41E24062" w14:textId="55511AC4" w:rsidR="00D4323A" w:rsidRPr="00CF2E7C" w:rsidRDefault="00436AEE"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6153DC8" w:rsidR="00D4323A" w:rsidRPr="00CF2E7C" w:rsidRDefault="00305C97"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237CACC4" w:rsidR="00D4323A" w:rsidRPr="00CF2E7C" w:rsidRDefault="00D4323A" w:rsidP="00CF2E7C">
            <w:pPr>
              <w:rPr>
                <w:rFonts w:ascii="Calibri" w:hAnsi="Calibri" w:cs="Calibri"/>
              </w:rPr>
            </w:pPr>
          </w:p>
        </w:tc>
        <w:tc>
          <w:tcPr>
            <w:tcW w:w="1674" w:type="dxa"/>
            <w:vAlign w:val="center"/>
          </w:tcPr>
          <w:p w14:paraId="5D138A68" w14:textId="72581020" w:rsidR="00D4323A" w:rsidRPr="00CF2E7C" w:rsidRDefault="00D4323A" w:rsidP="00CF2E7C">
            <w:pPr>
              <w:rPr>
                <w:rFonts w:ascii="Calibri" w:hAnsi="Calibri" w:cs="Calibri"/>
              </w:rPr>
            </w:pPr>
          </w:p>
        </w:tc>
        <w:tc>
          <w:tcPr>
            <w:tcW w:w="1723" w:type="dxa"/>
            <w:vAlign w:val="center"/>
          </w:tcPr>
          <w:p w14:paraId="51B18F60" w14:textId="00FCB3B3" w:rsidR="00D4323A" w:rsidRPr="00CF2E7C" w:rsidRDefault="00436AEE"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940C4C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54C9F0FD" w:rsidR="00D4323A" w:rsidRPr="00CF2E7C" w:rsidRDefault="00436AEE"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22F0CEC"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20FB2F8" w:rsidR="00D4323A" w:rsidRPr="00CF2E7C" w:rsidRDefault="00436AEE"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36479FEC" w:rsidR="00D4323A" w:rsidRPr="00CF2E7C" w:rsidRDefault="00305C97"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4CEFE9E" w:rsidR="00D4323A" w:rsidRPr="00CF2E7C" w:rsidRDefault="00305C97"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08C6E52" w:rsidR="00D4323A" w:rsidRPr="00CF2E7C" w:rsidRDefault="00436AEE"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7D63A6E"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42E9AC3F"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981B92B" w:rsidR="00D4323A" w:rsidRPr="00CF2E7C" w:rsidRDefault="00436AEE"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4D3EE27F" w:rsidR="00092534" w:rsidRPr="00CF2E7C" w:rsidRDefault="00305C97" w:rsidP="00CF2E7C">
            <w:pPr>
              <w:rPr>
                <w:rFonts w:ascii="Calibri" w:hAnsi="Calibri" w:cs="Calibri"/>
              </w:rPr>
            </w:pPr>
            <w:r>
              <w:rPr>
                <w:rFonts w:ascii="Calibri" w:hAnsi="Calibri" w:cs="Calibri"/>
              </w:rPr>
              <w:t>All covered facilities must be registered with the ECCC for the purpose of the OBPS. T</w:t>
            </w:r>
            <w:r w:rsidR="008E45C8">
              <w:rPr>
                <w:rFonts w:ascii="Calibri" w:hAnsi="Calibri" w:cs="Calibri"/>
              </w:rPr>
              <w:t xml:space="preserve">he OBPS requires industrial facilities that emit 50,000 tonnes or more of CO2 equivalent each year to </w:t>
            </w:r>
            <w:r w:rsidR="008E45C8">
              <w:rPr>
                <w:rFonts w:ascii="Calibri" w:hAnsi="Calibri" w:cs="Calibri"/>
              </w:rPr>
              <w:lastRenderedPageBreak/>
              <w:t>participate, and facilities that emit 10,000 tonnes of CO2e or more in certain sectors can also apply to participate voluntarily in the OBPS.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FBCB59A"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19397D2D" w:rsidR="00092534" w:rsidRPr="00CF2E7C" w:rsidRDefault="007E24B4"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572979EB" w:rsidR="00092534" w:rsidRPr="00CF2E7C" w:rsidRDefault="007E24B4"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D83DFB1"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16DCF6A4" w:rsidR="00092534" w:rsidRPr="00CF2E7C" w:rsidRDefault="009C635C"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2FEB6E6" w:rsidR="00092534" w:rsidRPr="00CF2E7C" w:rsidRDefault="007E24B4"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6D37066F"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00840319" w:rsidR="00092534" w:rsidRPr="00CF2E7C" w:rsidRDefault="008E45C8"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4769FE85"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48561FB0" w:rsidR="00092534" w:rsidRPr="00CF2E7C" w:rsidRDefault="00C4516E"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B0A87F1" w:rsidR="00092534" w:rsidRPr="00CF2E7C" w:rsidRDefault="00C4516E"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6FB1BEC4" w:rsidR="00092534" w:rsidRPr="00CF2E7C" w:rsidRDefault="00C4516E"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C159824"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37A8E4B" w:rsidR="00092534" w:rsidRPr="00CF2E7C" w:rsidRDefault="00C4516E"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F607CA1" w:rsidR="00092534" w:rsidRPr="00CF2E7C" w:rsidRDefault="00C4516E"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F724F7E" w:rsidR="00092534" w:rsidRPr="00CF2E7C" w:rsidRDefault="00C4516E"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0F05825" w:rsidR="00092534" w:rsidRPr="00CF2E7C" w:rsidRDefault="00C4516E"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399D6AD" w:rsidR="00092534" w:rsidRPr="00CF2E7C" w:rsidRDefault="00C4516E"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FCD6870" w:rsidR="00092534" w:rsidRPr="00CF2E7C" w:rsidRDefault="00C4516E"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62C765D" w:rsidR="00092534" w:rsidRPr="00CF2E7C" w:rsidRDefault="00C4516E"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2C5BA48" w:rsidR="00092534" w:rsidRPr="00CF2E7C" w:rsidRDefault="00C4516E"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6883698" w:rsidR="00092534" w:rsidRPr="00CF2E7C" w:rsidRDefault="00C4516E"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2A34847" w:rsidR="00092534" w:rsidRPr="00CF2E7C" w:rsidRDefault="00C4516E"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0950334" w:rsidR="00092534" w:rsidRPr="00CF2E7C" w:rsidRDefault="00C4516E"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D188437" w:rsidR="00092534" w:rsidRPr="00CF2E7C" w:rsidRDefault="00C4516E"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FA8B7D4" w:rsidR="00092534" w:rsidRPr="00CF2E7C" w:rsidRDefault="00C4516E"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049D7BCD" w:rsidR="00092534" w:rsidRPr="00CF2E7C" w:rsidRDefault="00E14A06" w:rsidP="00CF2E7C">
            <w:pP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3CDA5799" w:rsidR="00092534" w:rsidRPr="00CF2E7C" w:rsidRDefault="007E24B4" w:rsidP="00E14A06">
            <w:pPr>
              <w:rPr>
                <w:rFonts w:ascii="Calibri" w:hAnsi="Calibri" w:cs="Calibri"/>
              </w:rPr>
            </w:pPr>
            <w:r>
              <w:rPr>
                <w:rFonts w:ascii="Calibri" w:hAnsi="Calibri" w:cs="Calibri"/>
              </w:rPr>
              <w:t xml:space="preserve">Primary metal manufacturing, </w:t>
            </w:r>
            <w:r w:rsidR="00E14A06" w:rsidRPr="00E14A06">
              <w:rPr>
                <w:rFonts w:ascii="Calibri" w:hAnsi="Calibri" w:cs="Calibri"/>
              </w:rPr>
              <w:t>Motor vehicle transmission and power train parts manufacturing</w:t>
            </w:r>
            <w:r w:rsidR="00E14A06">
              <w:rPr>
                <w:rFonts w:ascii="Calibri" w:hAnsi="Calibri" w:cs="Calibri"/>
              </w:rPr>
              <w:t xml:space="preserve"> and food manufacturing are all considered industrial activities under the ECCC’s l</w:t>
            </w:r>
            <w:r w:rsidR="00E14A06" w:rsidRPr="00E14A06">
              <w:rPr>
                <w:rFonts w:ascii="Calibri" w:hAnsi="Calibri" w:cs="Calibri"/>
              </w:rPr>
              <w:t xml:space="preserve">ist of recognized additional industrial activities under the </w:t>
            </w:r>
            <w:hyperlink r:id="rId22" w:history="1">
              <w:r w:rsidR="00E14A06" w:rsidRPr="00E14A06">
                <w:rPr>
                  <w:rStyle w:val="Hyperlink"/>
                  <w:rFonts w:ascii="Calibri" w:hAnsi="Calibri" w:cs="Calibri"/>
                </w:rPr>
                <w:t>Output-Based Pricing System</w:t>
              </w:r>
            </w:hyperlink>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4D287021" w:rsidR="00092534" w:rsidRPr="00CF2E7C" w:rsidRDefault="008E45C8" w:rsidP="00CF2E7C">
            <w:pPr>
              <w:rPr>
                <w:rFonts w:ascii="Calibri" w:hAnsi="Calibri" w:cs="Calibri"/>
              </w:rPr>
            </w:pPr>
            <w:r>
              <w:rPr>
                <w:rFonts w:ascii="Calibri" w:hAnsi="Calibri" w:cs="Calibri"/>
              </w:rPr>
              <w:t>The OBPS requires industrial facilities that emit 50,000 tonnes or more of CO2 equivalent each year to participate, and facilities that emit 10,000 tonnes of CO2e or more in certain sectors can also apply to participate voluntarily in the OBPS.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5358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FA7B3F7" w:rsidR="00092534" w:rsidRPr="00CF75D3" w:rsidRDefault="009C635C" w:rsidP="00CF2E7C">
            <w:pPr>
              <w:rPr>
                <w:rFonts w:ascii="Calibri" w:hAnsi="Calibri" w:cs="Calibri"/>
              </w:rPr>
            </w:pPr>
            <w:r>
              <w:rPr>
                <w:rFonts w:ascii="Calibri" w:hAnsi="Calibri" w:cs="Calibri"/>
              </w:rPr>
              <w:t xml:space="preserve">Facilities that emitted a quantity of GHGs equal to 50kt or more or CO2e, as one or more facilities as defined in such a notice, during any of the 2014, 2015, 2016 or 2017 calendar years (s. 2 of the Notice, found </w:t>
            </w:r>
            <w:hyperlink r:id="rId23" w:history="1">
              <w:r w:rsidRPr="009C635C">
                <w:rPr>
                  <w:rStyle w:val="Hyperlink"/>
                  <w:rFonts w:ascii="Calibri" w:hAnsi="Calibri" w:cs="Calibri"/>
                </w:rPr>
                <w:t>here</w:t>
              </w:r>
            </w:hyperlink>
            <w:r>
              <w:rPr>
                <w:rFonts w:ascii="Calibri" w:hAnsi="Calibri" w:cs="Calibri"/>
              </w:rP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7237D37" w:rsidR="00092534" w:rsidRPr="00CF2E7C" w:rsidRDefault="00ED208D"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7878696" w:rsidR="00DB1E72" w:rsidRPr="00CF2E7C" w:rsidRDefault="00ED208D"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0CAEDA50" w:rsidR="00DB1E72" w:rsidRPr="00CF2E7C" w:rsidRDefault="00ED208D" w:rsidP="00CF2E7C">
            <w:pPr>
              <w:rPr>
                <w:rFonts w:ascii="Calibri" w:hAnsi="Calibri" w:cs="Calibri"/>
              </w:rPr>
            </w:pPr>
            <w:r>
              <w:rPr>
                <w:rFonts w:ascii="Calibri" w:hAnsi="Calibri" w:cs="Calibri"/>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487A08C2" w:rsidR="00DB1E72" w:rsidRPr="00CF2E7C" w:rsidRDefault="00ED208D" w:rsidP="00CF2E7C">
            <w:pPr>
              <w:rPr>
                <w:rFonts w:ascii="Calibri" w:hAnsi="Calibri" w:cs="Calibri"/>
              </w:rPr>
            </w:pPr>
            <w:r>
              <w:rPr>
                <w:rFonts w:ascii="Calibri" w:hAnsi="Calibri" w:cs="Calibri"/>
              </w:rPr>
              <w:t>If a facility fails to provide compensation by the required date, the increased-rate compensation is four times the regular rate. Failing to provide compensation by the increased-rate compensation deadline is an offence under the Act and is also a violation that can proceed under the “Environmental Violations Administrative Monetary Penalties Act.”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0F4B856"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75096E2" w:rsidR="00092534" w:rsidRPr="00CF2E7C" w:rsidRDefault="00C4516E"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0F042037" w:rsidR="00092534" w:rsidRPr="00CF2E7C" w:rsidRDefault="00C4516E" w:rsidP="00CF2E7C">
            <w:pPr>
              <w:rPr>
                <w:rFonts w:ascii="Calibri" w:hAnsi="Calibri" w:cs="Calibri"/>
              </w:rPr>
            </w:pPr>
            <w:r>
              <w:rPr>
                <w:rFonts w:ascii="Calibri" w:hAnsi="Calibri" w:cs="Calibri"/>
              </w:rPr>
              <w:t xml:space="preserve">The government has published a Voluntary Participation Policy for the OBPS, which can be found </w:t>
            </w:r>
            <w:hyperlink r:id="rId24" w:history="1">
              <w:r w:rsidRPr="00C4516E">
                <w:rPr>
                  <w:rStyle w:val="Hyperlink"/>
                  <w:rFonts w:ascii="Calibri" w:hAnsi="Calibri" w:cs="Calibri"/>
                </w:rPr>
                <w:t>here</w:t>
              </w:r>
            </w:hyperlink>
            <w:r>
              <w:rPr>
                <w:rFonts w:ascii="Calibri" w:hAnsi="Calibri" w:cs="Calibri"/>
              </w:rPr>
              <w:t>, indicating that there has been some interest in voluntary participation.</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B9F9447" w:rsidR="00092534" w:rsidRPr="00CF2E7C" w:rsidRDefault="0020152B"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474D65A5" w:rsidR="00092534" w:rsidRPr="00CF2E7C" w:rsidRDefault="009C635C" w:rsidP="00CF2E7C">
            <w:pPr>
              <w:rPr>
                <w:rFonts w:ascii="Calibri" w:hAnsi="Calibri" w:cs="Calibri"/>
              </w:rPr>
            </w:pPr>
            <w:r>
              <w:rPr>
                <w:rFonts w:ascii="Calibri" w:hAnsi="Calibri" w:cs="Calibri"/>
              </w:rPr>
              <w:t xml:space="preserve">I was unable to find any information about enforcement of this tool.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40834BE" w:rsidR="00092534" w:rsidRPr="00CF2E7C" w:rsidRDefault="0020152B"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4C2FF985" w:rsidR="00092534" w:rsidRPr="00CF2E7C" w:rsidRDefault="0020152B" w:rsidP="00CF2E7C">
            <w:pPr>
              <w:rPr>
                <w:rFonts w:ascii="Calibri" w:hAnsi="Calibri" w:cs="Calibri"/>
              </w:rPr>
            </w:pPr>
            <w:r>
              <w:rPr>
                <w:rFonts w:ascii="Calibri" w:hAnsi="Calibri" w:cs="Calibri"/>
              </w:rPr>
              <w:t>There is the “References re: Greenhouse Gases Pollution Pricing Act”, but that litigation was</w:t>
            </w:r>
            <w:r w:rsidR="00C4516E">
              <w:rPr>
                <w:rFonts w:ascii="Calibri" w:hAnsi="Calibri" w:cs="Calibri"/>
              </w:rPr>
              <w:t xml:space="preserve"> </w:t>
            </w:r>
            <w:r>
              <w:rPr>
                <w:rFonts w:ascii="Calibri" w:hAnsi="Calibri" w:cs="Calibri"/>
              </w:rPr>
              <w:t>a federalism question about the power and extent of POGG</w:t>
            </w:r>
            <w:r w:rsidR="009C635C">
              <w:rPr>
                <w:rFonts w:ascii="Calibri" w:hAnsi="Calibri" w:cs="Calibri"/>
              </w:rPr>
              <w:t>, not about the OBPS specifically.</w:t>
            </w:r>
          </w:p>
        </w:tc>
      </w:tr>
    </w:tbl>
    <w:p w14:paraId="040ABEAC" w14:textId="77777777" w:rsidR="00182646" w:rsidRDefault="00182646"/>
    <w:p w14:paraId="2BAE95A8" w14:textId="21647BBC"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3CE45D9" w:rsidR="00D46B07" w:rsidRPr="00CF2E7C" w:rsidRDefault="00E51E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B5A6FD3" w:rsidR="00D46B07" w:rsidRPr="00CF2E7C" w:rsidRDefault="00E51E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D6180B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5DFE75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4516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4069F8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9BBCC9A" w:rsidR="00D46B07" w:rsidRPr="00CF2E7C" w:rsidRDefault="00C4516E"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677CF6D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4A5067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4516E">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9F6BB61" w:rsidR="00D46B07" w:rsidRPr="00CF2E7C" w:rsidRDefault="00C451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D3C1F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5AF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BDFB32D" w:rsidR="00D15AFB" w:rsidRPr="00006A1E"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5AF5">
              <w:rPr>
                <w:rFonts w:ascii="Calibri" w:eastAsia="Times New Roman" w:hAnsi="Calibri" w:cs="Calibri"/>
                <w:kern w:val="0"/>
                <w:lang w:eastAsia="en-GB"/>
                <w14:ligatures w14:val="none"/>
              </w:rPr>
              <w:t xml:space="preserve">All covered facilities must be registered with the ECCC through the Credit and Tracking System (CATS). Link </w:t>
            </w:r>
            <w:hyperlink r:id="rId25" w:history="1">
              <w:r w:rsidR="00365AF5" w:rsidRPr="00006A1E">
                <w:rPr>
                  <w:rStyle w:val="Hyperlink"/>
                  <w:rFonts w:ascii="Calibri" w:eastAsia="Times New Roman" w:hAnsi="Calibri" w:cs="Calibri"/>
                  <w:kern w:val="0"/>
                  <w:lang w:eastAsia="en-GB"/>
                  <w14:ligatures w14:val="none"/>
                </w:rPr>
                <w:t>here</w:t>
              </w:r>
              <w:r w:rsidR="00D15AFB" w:rsidRPr="00006A1E">
                <w:rPr>
                  <w:rStyle w:val="Hyperlink"/>
                  <w:rFonts w:ascii="Calibri" w:eastAsia="Times New Roman" w:hAnsi="Calibri" w:cs="Calibri"/>
                  <w:kern w:val="0"/>
                  <w:lang w:eastAsia="en-GB"/>
                  <w14:ligatures w14:val="none"/>
                </w:rPr>
                <w:t xml:space="preserve"> </w:t>
              </w:r>
            </w:hyperlink>
            <w:r w:rsidR="00D15AFB" w:rsidRPr="00D15AFB">
              <w:rPr>
                <w:rStyle w:val="Hyperlink"/>
                <w:rFonts w:ascii="Calibri" w:eastAsia="Times New Roman" w:hAnsi="Calibri" w:cs="Calibri"/>
                <w:color w:val="auto"/>
                <w:kern w:val="0"/>
                <w:u w:val="none"/>
                <w:lang w:eastAsia="en-GB"/>
                <w14:ligatures w14:val="none"/>
              </w:rPr>
              <w:t xml:space="preserve">for CATS, </w:t>
            </w:r>
            <w:r w:rsidR="00D15AFB">
              <w:rPr>
                <w:rStyle w:val="Hyperlink"/>
                <w:rFonts w:ascii="Calibri" w:eastAsia="Times New Roman" w:hAnsi="Calibri" w:cs="Calibri"/>
                <w:color w:val="auto"/>
                <w:kern w:val="0"/>
                <w:u w:val="none"/>
                <w:lang w:eastAsia="en-GB"/>
                <w14:ligatures w14:val="none"/>
              </w:rPr>
              <w:t xml:space="preserve">and link </w:t>
            </w:r>
            <w:hyperlink r:id="rId26" w:history="1">
              <w:r w:rsidR="00D15AFB" w:rsidRPr="00D15AFB">
                <w:rPr>
                  <w:rStyle w:val="Hyperlink"/>
                  <w:rFonts w:ascii="Calibri" w:eastAsia="Times New Roman" w:hAnsi="Calibri" w:cs="Calibri"/>
                  <w:kern w:val="0"/>
                  <w:lang w:eastAsia="en-GB"/>
                  <w14:ligatures w14:val="none"/>
                </w:rPr>
                <w:t>here</w:t>
              </w:r>
            </w:hyperlink>
            <w:r w:rsidR="00D15AFB">
              <w:rPr>
                <w:rStyle w:val="Hyperlink"/>
                <w:rFonts w:ascii="Calibri" w:eastAsia="Times New Roman" w:hAnsi="Calibri" w:cs="Calibri"/>
                <w:color w:val="auto"/>
                <w:kern w:val="0"/>
                <w:u w:val="none"/>
                <w:lang w:eastAsia="en-GB"/>
                <w14:ligatures w14:val="none"/>
              </w:rPr>
              <w:t xml:space="preserve"> for the public registry.</w:t>
            </w:r>
            <w:r w:rsidR="00793B11">
              <w:rPr>
                <w:rStyle w:val="Hyperlink"/>
                <w:rFonts w:ascii="Calibri" w:eastAsia="Times New Roman" w:hAnsi="Calibri" w:cs="Calibri"/>
                <w:color w:val="auto"/>
                <w:kern w:val="0"/>
                <w:u w:val="none"/>
                <w:lang w:eastAsia="en-GB"/>
                <w14:ligatures w14:val="none"/>
              </w:rPr>
              <w:t xml:space="preserve"> All facilities that meet the requirements to be a covered facilities must be registered.</w:t>
            </w:r>
            <w:r w:rsidR="00006A1E">
              <w:rPr>
                <w:rStyle w:val="Hyperlink"/>
                <w:rFonts w:ascii="Calibri" w:eastAsia="Times New Roman" w:hAnsi="Calibri" w:cs="Calibri"/>
                <w:color w:val="auto"/>
                <w:kern w:val="0"/>
                <w:u w:val="none"/>
                <w:lang w:eastAsia="en-GB"/>
                <w14:ligatures w14:val="none"/>
              </w:rPr>
              <w:t xml:space="preserve"> </w:t>
            </w:r>
            <w:r w:rsidR="00D15AFB">
              <w:t>Project proponents must create and use a GHG Offset Credit System account to register offset projects, and manage their projects and offset credits all on one platform.</w:t>
            </w:r>
            <w:r w:rsidR="00006A1E">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06D78A4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5DFE8F6" w:rsidR="00343937" w:rsidRPr="00CF2E7C" w:rsidRDefault="00365A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436011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006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36D456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0068">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11951B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0068">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031A0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0068">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2BAB82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B1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DE8FC1A" w:rsidR="00343937" w:rsidRPr="00CF2E7C" w:rsidRDefault="00793B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Canada notes that E</w:t>
            </w:r>
            <w:r w:rsidR="00CC1BB1">
              <w:rPr>
                <w:rFonts w:ascii="Calibri" w:eastAsia="Times New Roman" w:hAnsi="Calibri" w:cs="Calibri"/>
                <w:kern w:val="0"/>
                <w:lang w:eastAsia="en-GB"/>
                <w14:ligatures w14:val="none"/>
              </w:rPr>
              <w:t>CCC</w:t>
            </w:r>
            <w:r>
              <w:rPr>
                <w:rFonts w:ascii="Calibri" w:eastAsia="Times New Roman" w:hAnsi="Calibri" w:cs="Calibri"/>
                <w:kern w:val="0"/>
                <w:lang w:eastAsia="en-GB"/>
                <w14:ligatures w14:val="none"/>
              </w:rPr>
              <w:t xml:space="preserve"> will work with provincial/territorial Program Authorities, from programs deemed eligible for use in the federal OBPS, to develop arrangements for the tracking, use and assurance of offset credits from their programs to ensure that there is no double counting or double use</w:t>
            </w:r>
            <w:r w:rsidR="00BA0068">
              <w:rPr>
                <w:rFonts w:ascii="Calibri" w:eastAsia="Times New Roman" w:hAnsi="Calibri" w:cs="Calibri"/>
                <w:kern w:val="0"/>
                <w:lang w:eastAsia="en-GB"/>
                <w14:ligatures w14:val="none"/>
              </w:rPr>
              <w:t xml:space="preserve"> (</w:t>
            </w:r>
            <w:hyperlink r:id="rId27" w:history="1">
              <w:r w:rsidR="00BA0068" w:rsidRPr="00BA0068">
                <w:rPr>
                  <w:rStyle w:val="Hyperlink"/>
                  <w:rFonts w:ascii="Calibri" w:eastAsia="Times New Roman" w:hAnsi="Calibri" w:cs="Calibri"/>
                  <w:kern w:val="0"/>
                  <w:lang w:eastAsia="en-GB"/>
                  <w14:ligatures w14:val="none"/>
                </w:rPr>
                <w:t>link</w:t>
              </w:r>
            </w:hyperlink>
            <w:r w:rsidR="00BA0068">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20851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0068">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9378C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438E">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231411C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438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F8F5983" w:rsidR="00343937" w:rsidRPr="00CF2E7C" w:rsidRDefault="00006A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t>he government has indicated from other regulations (like the GHG Offset Credit System) that these carbon credits can be used to support climate action, innovation, and clean technology.</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20E2DFE" w:rsidR="000A6F11" w:rsidRPr="00CF2E7C" w:rsidRDefault="001654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9BA5A0A"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0C849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54D3">
              <w:rPr>
                <w:rFonts w:ascii="Calibri" w:eastAsia="Times New Roman" w:hAnsi="Calibri" w:cs="Calibri"/>
                <w:kern w:val="0"/>
                <w:lang w:eastAsia="en-GB"/>
                <w14:ligatures w14:val="none"/>
              </w:rPr>
              <w:t xml:space="preserve">X – </w:t>
            </w:r>
            <w:hyperlink r:id="rId28" w:anchor="h-246360" w:history="1">
              <w:r w:rsidR="001654D3" w:rsidRPr="00C7114E">
                <w:rPr>
                  <w:rStyle w:val="Hyperlink"/>
                  <w:rFonts w:ascii="Calibri" w:eastAsia="Times New Roman" w:hAnsi="Calibri" w:cs="Calibri"/>
                  <w:kern w:val="0"/>
                  <w:lang w:eastAsia="en-GB"/>
                  <w14:ligatures w14:val="none"/>
                </w:rPr>
                <w:t>s.175 of GGPPA.</w:t>
              </w:r>
            </w:hyperlink>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0C52E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7A798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3A410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818DC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CD025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684C69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67E73C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C2D5F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3E411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34F20EE5" w:rsidR="00047A9C" w:rsidRPr="00CF2E7C" w:rsidRDefault="00C711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FE993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EDD99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656ED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06A1E">
              <w:rPr>
                <w:rFonts w:ascii="Calibri" w:eastAsia="Times New Roman" w:hAnsi="Calibri" w:cs="Calibri"/>
                <w:kern w:val="0"/>
                <w:lang w:val="en-US"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FF3D91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8DD63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54CD80C6" w:rsidR="00047A9C" w:rsidRPr="00006A1E"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B5CCB">
              <w:rPr>
                <w:rFonts w:ascii="Calibri" w:eastAsia="Times New Roman" w:hAnsi="Calibri" w:cs="Calibri"/>
                <w:kern w:val="0"/>
                <w:lang w:eastAsia="en-GB"/>
                <w14:ligatures w14:val="none"/>
              </w:rPr>
              <w:t xml:space="preserve">Carbon credits are given out automatically based on if you remained below your emissions limit, as prescribed by the </w:t>
            </w:r>
            <w:r w:rsidR="005E5807">
              <w:rPr>
                <w:rFonts w:ascii="Calibri" w:eastAsia="Times New Roman" w:hAnsi="Calibri" w:cs="Calibri"/>
                <w:kern w:val="0"/>
                <w:lang w:eastAsia="en-GB"/>
                <w14:ligatures w14:val="none"/>
              </w:rPr>
              <w:t xml:space="preserve">OBPS Regulations, </w:t>
            </w:r>
            <w:hyperlink r:id="rId29" w:anchor=":~:text=The%20GHG%20emissions%20limit%20that%20applies%20to%20the%20electricity%20generation%20facility%2C%20expressed%20in%20CO2e%20tonnes%2C%20is%20determined%20for%20each%20compliance%20period%20in%20accordance%20with%20the%20formula" w:history="1">
              <w:r w:rsidR="005E5807" w:rsidRPr="005E5807">
                <w:rPr>
                  <w:rStyle w:val="Hyperlink"/>
                  <w:rFonts w:ascii="Calibri" w:eastAsia="Times New Roman" w:hAnsi="Calibri" w:cs="Calibri"/>
                  <w:kern w:val="0"/>
                  <w:lang w:eastAsia="en-GB"/>
                  <w14:ligatures w14:val="none"/>
                </w:rPr>
                <w:t>section 41.1(2).</w:t>
              </w:r>
            </w:hyperlink>
            <w:r w:rsidR="00006A1E">
              <w:rPr>
                <w:rStyle w:val="Hyperlink"/>
                <w:rFonts w:ascii="Calibri" w:eastAsia="Times New Roman" w:hAnsi="Calibri" w:cs="Calibri"/>
                <w:kern w:val="0"/>
                <w:lang w:eastAsia="en-GB"/>
                <w14:ligatures w14:val="none"/>
              </w:rPr>
              <w:t xml:space="preserve"> </w:t>
            </w:r>
            <w:r w:rsidR="00006A1E">
              <w:rPr>
                <w:rStyle w:val="Hyperlink"/>
                <w:rFonts w:ascii="Calibri" w:eastAsia="Times New Roman" w:hAnsi="Calibri" w:cs="Calibri"/>
                <w:color w:val="auto"/>
                <w:kern w:val="0"/>
                <w:u w:val="none"/>
                <w:lang w:eastAsia="en-GB"/>
                <w14:ligatures w14:val="none"/>
              </w:rPr>
              <w:t>There is no need to demonstrate additionally.</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4FED44E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425CE6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8327E5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5C14E8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sidRPr="00CF2E7C">
              <w:rPr>
                <w:rFonts w:ascii="Calibri" w:eastAsia="Times New Roman" w:hAnsi="Calibri" w:cs="Calibri"/>
                <w:kern w:val="0"/>
                <w:lang w:eastAsia="en-GB"/>
                <w14:ligatures w14:val="none"/>
              </w:rPr>
              <w:t xml:space="preserve">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929807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06A1E">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F83DDA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N</w:t>
            </w:r>
            <w:r w:rsidR="00006A1E">
              <w:t>o significant mention of permanence in the policy tool – this makes sense, as the tool issues credits solely based on performance. They are not tied to sequestration or storage.</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99A46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E8D38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ACA57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F7DBB0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57D935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687AF8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06A1E">
              <w:rPr>
                <w:rFonts w:ascii="Calibri" w:eastAsia="Times New Roman" w:hAnsi="Calibri" w:cs="Calibri"/>
                <w:kern w:val="0"/>
                <w:lang w:eastAsia="en-GB"/>
                <w14:ligatures w14:val="none"/>
              </w:rPr>
              <w:t>No provisions that address the reversal of carbon credits, which makes sense given the nature of the system.</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3E87211" w:rsidR="00DD694D" w:rsidRPr="00CF2E7C" w:rsidRDefault="00006A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69B6D6C9" w:rsidR="00DD694D" w:rsidRPr="00CF2E7C" w:rsidRDefault="007A25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5 of the tool lays out the Quantification of GHGs, which must be determined in accordance to sections 16-25. This is laid out in the guidance document </w:t>
            </w:r>
            <w:hyperlink r:id="rId30" w:history="1">
              <w:r w:rsidRPr="007A254A">
                <w:rPr>
                  <w:rStyle w:val="Hyperlink"/>
                  <w:rFonts w:ascii="Calibri" w:eastAsia="Times New Roman" w:hAnsi="Calibri" w:cs="Calibri"/>
                  <w:kern w:val="0"/>
                  <w:lang w:eastAsia="en-GB"/>
                  <w14:ligatures w14:val="none"/>
                </w:rPr>
                <w:t>here</w:t>
              </w:r>
            </w:hyperlink>
            <w:r>
              <w:rPr>
                <w:rFonts w:ascii="Calibri" w:eastAsia="Times New Roman" w:hAnsi="Calibri" w:cs="Calibri"/>
                <w:kern w:val="0"/>
                <w:lang w:eastAsia="en-GB"/>
                <w14:ligatures w14:val="none"/>
              </w:rPr>
              <w:t>. *FIX*</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8737F1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254A">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1E00AD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254A">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B0C01B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254A">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6A9B04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254A">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6DB75F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A254A">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BDEFE7C" w:rsidR="00DD694D" w:rsidRPr="00CF2E7C" w:rsidRDefault="007A25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 of these sections are mentioned in the policy tool. Additionally, because the OBPS does not involve land-use projects or community-based initiatives, many of these are not applicable to the OBPS regulations.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265ACAF1" w:rsidR="00B87C89" w:rsidRPr="00CF2E7C" w:rsidRDefault="007A25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042844F0" w:rsidR="00B87C89" w:rsidRPr="00CF2E7C" w:rsidRDefault="007A25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7C342513" w:rsidR="00B87C89" w:rsidRPr="00CF2E7C" w:rsidRDefault="007A25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There does not seem to be a fixed proportion of an entity’s emissions that can be offset with carbon credits obtained through either the OBPS or the GHG Offset Credit System.</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BBDF6B7" w:rsidR="002119B6" w:rsidRPr="00CF2E7C" w:rsidRDefault="00BB7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61AE80BA" w:rsidR="002119B6" w:rsidRPr="00CF2E7C" w:rsidRDefault="00BB7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2394D12A" w:rsidR="002119B6" w:rsidRPr="00CF2E7C" w:rsidRDefault="00BB7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Credits obtained through recognized provincial or territorial offset programs and protocols can also be eligible to be recognized as carbon credits permitted for use. The list of recognized offset programs can be found </w:t>
            </w:r>
            <w:hyperlink r:id="rId31" w:history="1">
              <w:r w:rsidRPr="00BB7D81">
                <w:rPr>
                  <w:rStyle w:val="Hyperlink"/>
                  <w:rFonts w:ascii="Calibri" w:eastAsia="Times New Roman" w:hAnsi="Calibri" w:cs="Calibri"/>
                  <w:kern w:val="0"/>
                  <w:lang w:eastAsia="en-GB"/>
                  <w14:ligatures w14:val="none"/>
                </w:rPr>
                <w:t>here</w:t>
              </w:r>
            </w:hyperlink>
            <w:r>
              <w:rPr>
                <w:rFonts w:ascii="Calibri" w:eastAsia="Times New Roman" w:hAnsi="Calibri" w:cs="Calibri"/>
                <w:kern w:val="0"/>
                <w:lang w:eastAsia="en-GB"/>
                <w14:ligatures w14:val="none"/>
              </w:rPr>
              <w:t>.</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5735C7F" w:rsidR="00FE7FA5" w:rsidRPr="00CF2E7C" w:rsidRDefault="00BB7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49F4F5FB" w:rsidR="00FE7FA5" w:rsidRPr="00BB7D81" w:rsidRDefault="00E14A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policies </w:t>
            </w:r>
            <w:r w:rsidR="000C6E8D">
              <w:rPr>
                <w:rFonts w:ascii="Calibri" w:eastAsia="Times New Roman" w:hAnsi="Calibri" w:cs="Calibri"/>
                <w:kern w:val="0"/>
                <w:lang w:eastAsia="en-GB"/>
                <w14:ligatures w14:val="none"/>
              </w:rPr>
              <w:t>associated</w:t>
            </w:r>
            <w:r>
              <w:rPr>
                <w:rFonts w:ascii="Calibri" w:eastAsia="Times New Roman" w:hAnsi="Calibri" w:cs="Calibri"/>
                <w:kern w:val="0"/>
                <w:lang w:eastAsia="en-GB"/>
                <w14:ligatures w14:val="none"/>
              </w:rPr>
              <w:t xml:space="preserve"> with the trading of credits within the</w:t>
            </w:r>
            <w:r w:rsidR="000C6E8D">
              <w:rPr>
                <w:rFonts w:ascii="Calibri" w:eastAsia="Times New Roman" w:hAnsi="Calibri" w:cs="Calibri"/>
                <w:kern w:val="0"/>
                <w:lang w:eastAsia="en-GB"/>
                <w14:ligatures w14:val="none"/>
              </w:rPr>
              <w:t xml:space="preserve"> CATS are outlined in the</w:t>
            </w:r>
            <w:r w:rsidR="000C6E8D" w:rsidRPr="000C6E8D">
              <w:rPr>
                <w:rFonts w:ascii="Calibri" w:eastAsia="Times New Roman" w:hAnsi="Calibri" w:cs="Calibri"/>
                <w:kern w:val="0"/>
                <w:lang w:eastAsia="en-GB"/>
                <w14:ligatures w14:val="none"/>
              </w:rPr>
              <w:t xml:space="preserve"> </w:t>
            </w:r>
            <w:hyperlink r:id="rId32" w:history="1">
              <w:r w:rsidR="000C6E8D" w:rsidRPr="000C6E8D">
                <w:rPr>
                  <w:rStyle w:val="Hyperlink"/>
                  <w:rFonts w:ascii="Calibri" w:eastAsia="Times New Roman" w:hAnsi="Calibri" w:cs="Calibri"/>
                  <w:kern w:val="0"/>
                  <w:lang w:eastAsia="en-GB"/>
                  <w14:ligatures w14:val="none"/>
                </w:rPr>
                <w:t>Canadian Greenhouse Gas Offset Credit System Regulations</w:t>
              </w:r>
            </w:hyperlink>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A385454" w:rsidR="00FE7FA5" w:rsidRPr="00CF2E7C" w:rsidRDefault="00BB7D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 guidance</w:t>
            </w:r>
            <w:r w:rsidR="000C6E8D">
              <w:rPr>
                <w:rFonts w:ascii="Calibri" w:eastAsia="Times New Roman" w:hAnsi="Calibri" w:cs="Calibri"/>
                <w:kern w:val="0"/>
                <w:lang w:eastAsia="en-GB"/>
                <w14:ligatures w14:val="none"/>
              </w:rPr>
              <w:t xml:space="preserve"> because the credits that can be used are specifically identified.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B8547D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321D4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3E1303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102F3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93A35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91FFD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B4FB09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B376A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5A84CC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497072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0F9286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18EA4D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857C9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D81">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2" w:name="_Toc198223631"/>
      <w:r w:rsidRPr="009C4D10">
        <w:lastRenderedPageBreak/>
        <w:t>Domain 5: Prudential Tools</w:t>
      </w:r>
      <w:bookmarkEnd w:id="42"/>
    </w:p>
    <w:p w14:paraId="3E16913F" w14:textId="21F34EF6"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5358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31D0C" w:rsidP="00CF2E7C">
            <w:pPr>
              <w:rPr>
                <w:rFonts w:cstheme="minorHAnsi"/>
              </w:rPr>
            </w:pPr>
            <w:hyperlink r:id="rId3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31D0C" w:rsidP="00CF2E7C">
            <w:pPr>
              <w:rPr>
                <w:rFonts w:cstheme="minorHAnsi"/>
              </w:rPr>
            </w:pPr>
            <w:hyperlink r:id="rId3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5" w:name="_Toc198223638"/>
      <w:r>
        <w:lastRenderedPageBreak/>
        <w:t>Domain 6: Methane Abatement</w:t>
      </w:r>
      <w:bookmarkEnd w:id="55"/>
    </w:p>
    <w:p w14:paraId="144EDD37"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5358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131D0C">
      <w:headerReference w:type="default" r:id="rId3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3A0E2" w14:textId="77777777" w:rsidR="00BF7617" w:rsidRDefault="00BF7617" w:rsidP="00874E39">
      <w:r>
        <w:separator/>
      </w:r>
    </w:p>
  </w:endnote>
  <w:endnote w:type="continuationSeparator" w:id="0">
    <w:p w14:paraId="1E86B20F" w14:textId="77777777" w:rsidR="00BF7617" w:rsidRDefault="00BF7617" w:rsidP="00874E39">
      <w:r>
        <w:continuationSeparator/>
      </w:r>
    </w:p>
  </w:endnote>
  <w:endnote w:type="continuationNotice" w:id="1">
    <w:p w14:paraId="6295B526" w14:textId="77777777" w:rsidR="00BF7617" w:rsidRDefault="00BF76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24B38758" w14:textId="77777777" w:rsidR="00436AEE" w:rsidRDefault="00436AEE" w:rsidP="001E320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111</w:t>
        </w:r>
      </w:p>
    </w:sdtContent>
  </w:sdt>
  <w:bookmarkStart w:id="0" w:name="_iDocIDFieldfdf56cbf-ba04-4c6c-a4ad-c398"/>
  <w:p w14:paraId="165C1064" w14:textId="77777777" w:rsidR="00436AEE" w:rsidRDefault="00436AEE">
    <w:pPr>
      <w:pStyle w:val="DocID"/>
    </w:pPr>
    <w:r>
      <w:fldChar w:fldCharType="begin"/>
    </w:r>
    <w:r>
      <w:instrText xml:space="preserve">  DOCPROPERTY "CUS_DocIDChunk0" </w:instrText>
    </w:r>
    <w:r>
      <w:fldChar w:fldCharType="separate"/>
    </w:r>
    <w:r>
      <w:rPr>
        <w:noProof/>
      </w:rPr>
      <w:t>53427701.3</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6A77B" w14:textId="77777777" w:rsidR="00436AEE" w:rsidRDefault="00436AEE" w:rsidP="00437982">
    <w:pPr>
      <w:pStyle w:val="Footer"/>
      <w:framePr w:h="878" w:hRule="exact" w:wrap="none" w:vAnchor="text" w:hAnchor="margin" w:xAlign="right" w:y="139"/>
      <w:jc w:val="right"/>
      <w:rPr>
        <w:rStyle w:val="PageNumber"/>
        <w:color w:val="18223E"/>
        <w:sz w:val="20"/>
        <w:szCs w:val="20"/>
      </w:rPr>
    </w:pPr>
  </w:p>
  <w:p w14:paraId="7253FC83" w14:textId="77777777" w:rsidR="00436AEE" w:rsidRPr="00041BB2" w:rsidRDefault="00436AEE" w:rsidP="00437982">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1B0B1DD6" w14:textId="77777777" w:rsidR="00436AEE" w:rsidRDefault="00436AEE" w:rsidP="00437982">
    <w:pPr>
      <w:pStyle w:val="Footer"/>
      <w:ind w:right="360"/>
    </w:pPr>
    <w:r>
      <w:rPr>
        <w:noProof/>
        <w:color w:val="18223E"/>
        <w:sz w:val="20"/>
        <w:szCs w:val="20"/>
      </w:rPr>
      <w:drawing>
        <wp:anchor distT="0" distB="0" distL="114300" distR="114300" simplePos="0" relativeHeight="251673600" behindDoc="1" locked="0" layoutInCell="1" allowOverlap="1" wp14:anchorId="334F054B" wp14:editId="798AD12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423da92b-5928-4f90-9862-2e63"/>
  <w:p w14:paraId="1484521E" w14:textId="77777777" w:rsidR="00436AEE" w:rsidRDefault="00436AEE">
    <w:pPr>
      <w:pStyle w:val="DocID"/>
    </w:pPr>
    <w:r>
      <w:fldChar w:fldCharType="begin"/>
    </w:r>
    <w:r>
      <w:instrText xml:space="preserve">  DOCPROPERTY "CUS_DocIDChunk0" </w:instrText>
    </w:r>
    <w:r>
      <w:fldChar w:fldCharType="separate"/>
    </w:r>
    <w:r>
      <w:rPr>
        <w:noProof/>
      </w:rPr>
      <w:t>53427701.3</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24D0B" w14:textId="77777777" w:rsidR="00436AEE" w:rsidRPr="007A12D3" w:rsidRDefault="00436AEE" w:rsidP="007A12D3">
    <w:pPr>
      <w:pStyle w:val="Footer"/>
      <w:jc w:val="right"/>
      <w:rPr>
        <w:b/>
        <w:bCs/>
        <w:color w:val="18233F"/>
        <w:sz w:val="32"/>
        <w:szCs w:val="32"/>
      </w:rPr>
    </w:pPr>
    <w:r>
      <w:rPr>
        <w:noProof/>
        <w:color w:val="18223E"/>
        <w:sz w:val="20"/>
        <w:szCs w:val="20"/>
      </w:rPr>
      <w:drawing>
        <wp:anchor distT="0" distB="0" distL="114300" distR="114300" simplePos="0" relativeHeight="251671552" behindDoc="1" locked="0" layoutInCell="1" allowOverlap="1" wp14:anchorId="019CFC24" wp14:editId="7E81AE1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70528" behindDoc="0" locked="0" layoutInCell="1" allowOverlap="1" wp14:anchorId="4FFFBCD5" wp14:editId="20FC2A19">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61860DE" id="Group 3" o:spid="_x0000_s1026" style="position:absolute;margin-left:144.15pt;margin-top:730.65pt;width:234.85pt;height:56.65pt;z-index:25167052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6e5b5093-fb14-4844-8822-a2e8"/>
  <w:p w14:paraId="49028B0B" w14:textId="77777777" w:rsidR="00436AEE" w:rsidRDefault="00436AEE">
    <w:pPr>
      <w:pStyle w:val="DocID"/>
    </w:pPr>
    <w:r>
      <w:fldChar w:fldCharType="begin"/>
    </w:r>
    <w:r>
      <w:instrText xml:space="preserve">  DOCPROPERTY "CUS_DocIDChunk0" </w:instrText>
    </w:r>
    <w:r>
      <w:fldChar w:fldCharType="separate"/>
    </w:r>
    <w:r>
      <w:rPr>
        <w:noProof/>
      </w:rPr>
      <w:t>53427701.3</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B58B3A" w14:textId="77777777" w:rsidR="00BF7617" w:rsidRDefault="00BF7617" w:rsidP="00874E39">
      <w:r>
        <w:separator/>
      </w:r>
    </w:p>
  </w:footnote>
  <w:footnote w:type="continuationSeparator" w:id="0">
    <w:p w14:paraId="688E4DFD" w14:textId="77777777" w:rsidR="00BF7617" w:rsidRDefault="00BF7617" w:rsidP="00874E39">
      <w:r>
        <w:continuationSeparator/>
      </w:r>
    </w:p>
  </w:footnote>
  <w:footnote w:type="continuationNotice" w:id="1">
    <w:p w14:paraId="2216C148" w14:textId="77777777" w:rsidR="00BF7617" w:rsidRDefault="00BF7617"/>
  </w:footnote>
  <w:footnote w:id="2">
    <w:p w14:paraId="59E67148" w14:textId="3E8FAD1B" w:rsidR="007E24B4" w:rsidRPr="007E24B4" w:rsidRDefault="007E24B4">
      <w:pPr>
        <w:pStyle w:val="FootnoteText"/>
        <w:rPr>
          <w:lang w:val="en-US"/>
        </w:rPr>
      </w:pPr>
      <w:r>
        <w:rPr>
          <w:rStyle w:val="FootnoteReference"/>
        </w:rPr>
        <w:footnoteRef/>
      </w:r>
      <w:r>
        <w:t xml:space="preserve"> </w:t>
      </w:r>
      <w:r>
        <w:rPr>
          <w:lang w:val="en-US"/>
        </w:rPr>
        <w:t>Note to the Oxford team: Participation is only mandatory if a facility meets the criteria we have outlined in the Other category</w:t>
      </w:r>
      <w:r w:rsidR="00DD326F">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F00DA" w14:textId="77777777" w:rsidR="0020152F" w:rsidRDefault="002015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FB715" w14:textId="77777777" w:rsidR="0020152F" w:rsidRDefault="0020152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701||2~3||3~CA_Federal Output-Based Pricing System_Torys||5~CMARFUL||6~CMARFUL||8~FIRM||10~7/16/2025 5:56:43 PM||11~7/15/2025 8:24:56 PM||13~2915270||14~False||17~public||18~EDONG||19~EDONG||21~True||22~True||24~Updating based on TD's comments 7-17.||25~98010||26~2843||60~Personal/Practice Management Workspace||61~Caroline A. Marful||74~Marful, Caroline||75~Marful, Caroline||76~WORD 2010||77~Firm||80~Dong, Eric||82~docx||85~7/16/2025 5:56:50 PM||99~1/1/0001 5:00:00 AM||102~False||106~C:\Users\edong\AppData\Roaming\iManage\Work\Recent\MARFUL Caroline - Practice Management\CA_Federal Output-Based Pricing System_Torys(53427701.3).docx||107~1/1/0001 5:00:00 AM||109~7/17/2025 3:27:35 PM||112~1/1/0001 12:00:00 AM||113~7/15/2025 8:24:56 PM||114~7/16/2025 5:56:43 PM||117~True||118~False||124~False||"/>
  </w:docVars>
  <w:rsids>
    <w:rsidRoot w:val="001206CE"/>
    <w:rsid w:val="00000B16"/>
    <w:rsid w:val="00001065"/>
    <w:rsid w:val="00001A40"/>
    <w:rsid w:val="0000250A"/>
    <w:rsid w:val="00002A50"/>
    <w:rsid w:val="00002B86"/>
    <w:rsid w:val="00004B5F"/>
    <w:rsid w:val="00004ED7"/>
    <w:rsid w:val="00005046"/>
    <w:rsid w:val="00005205"/>
    <w:rsid w:val="000057E1"/>
    <w:rsid w:val="00006A1E"/>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3EF"/>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65D"/>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E8D"/>
    <w:rsid w:val="000D002A"/>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3AE"/>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D0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AE7"/>
    <w:rsid w:val="0016002C"/>
    <w:rsid w:val="00160486"/>
    <w:rsid w:val="001604B3"/>
    <w:rsid w:val="00161D1B"/>
    <w:rsid w:val="00162CC0"/>
    <w:rsid w:val="00164519"/>
    <w:rsid w:val="001654D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52B"/>
    <w:rsid w:val="0020152F"/>
    <w:rsid w:val="002018F7"/>
    <w:rsid w:val="002020E8"/>
    <w:rsid w:val="00203B08"/>
    <w:rsid w:val="002040F6"/>
    <w:rsid w:val="00204C4D"/>
    <w:rsid w:val="0020589D"/>
    <w:rsid w:val="00205D5A"/>
    <w:rsid w:val="002069B2"/>
    <w:rsid w:val="00206E20"/>
    <w:rsid w:val="00210E0F"/>
    <w:rsid w:val="002117B0"/>
    <w:rsid w:val="00211851"/>
    <w:rsid w:val="002119B6"/>
    <w:rsid w:val="002122F2"/>
    <w:rsid w:val="0021535C"/>
    <w:rsid w:val="0021729E"/>
    <w:rsid w:val="00220F36"/>
    <w:rsid w:val="00222757"/>
    <w:rsid w:val="00222DFA"/>
    <w:rsid w:val="00222E01"/>
    <w:rsid w:val="0022414E"/>
    <w:rsid w:val="00224D9E"/>
    <w:rsid w:val="00224EDF"/>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38E"/>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B1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057"/>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C97"/>
    <w:rsid w:val="00306538"/>
    <w:rsid w:val="00307058"/>
    <w:rsid w:val="003071A8"/>
    <w:rsid w:val="00307464"/>
    <w:rsid w:val="0031143A"/>
    <w:rsid w:val="00311F1B"/>
    <w:rsid w:val="00313275"/>
    <w:rsid w:val="00313E83"/>
    <w:rsid w:val="003175A1"/>
    <w:rsid w:val="003214A7"/>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AF5"/>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5A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B4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AEE"/>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9B8"/>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1A7"/>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F04"/>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807"/>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4FAE"/>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7C5"/>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5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CCA"/>
    <w:rsid w:val="0078610D"/>
    <w:rsid w:val="007866CF"/>
    <w:rsid w:val="00786AC9"/>
    <w:rsid w:val="00786EC4"/>
    <w:rsid w:val="00791ED5"/>
    <w:rsid w:val="00792667"/>
    <w:rsid w:val="00792AC3"/>
    <w:rsid w:val="007936B2"/>
    <w:rsid w:val="007936C6"/>
    <w:rsid w:val="007939C4"/>
    <w:rsid w:val="00793B11"/>
    <w:rsid w:val="00794D7C"/>
    <w:rsid w:val="00795F60"/>
    <w:rsid w:val="007963A0"/>
    <w:rsid w:val="00796DBC"/>
    <w:rsid w:val="007976D7"/>
    <w:rsid w:val="007A24F7"/>
    <w:rsid w:val="007A254A"/>
    <w:rsid w:val="007A316E"/>
    <w:rsid w:val="007A426C"/>
    <w:rsid w:val="007A5D75"/>
    <w:rsid w:val="007A6D5E"/>
    <w:rsid w:val="007A725A"/>
    <w:rsid w:val="007A746E"/>
    <w:rsid w:val="007A7701"/>
    <w:rsid w:val="007B1CB8"/>
    <w:rsid w:val="007B2322"/>
    <w:rsid w:val="007B25C8"/>
    <w:rsid w:val="007B3452"/>
    <w:rsid w:val="007B446F"/>
    <w:rsid w:val="007B5F4C"/>
    <w:rsid w:val="007B6750"/>
    <w:rsid w:val="007B6AD4"/>
    <w:rsid w:val="007B6E7E"/>
    <w:rsid w:val="007B7083"/>
    <w:rsid w:val="007B72B3"/>
    <w:rsid w:val="007B7633"/>
    <w:rsid w:val="007B7DEE"/>
    <w:rsid w:val="007B7FD7"/>
    <w:rsid w:val="007C1980"/>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4B4"/>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26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0DFC"/>
    <w:rsid w:val="00862AB1"/>
    <w:rsid w:val="00862EB9"/>
    <w:rsid w:val="008642FE"/>
    <w:rsid w:val="008650EB"/>
    <w:rsid w:val="0087014A"/>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5C8"/>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47E"/>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CC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35C"/>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DFA"/>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F4F"/>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6EBE"/>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22C"/>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068"/>
    <w:rsid w:val="00BA01DD"/>
    <w:rsid w:val="00BA08E0"/>
    <w:rsid w:val="00BA118E"/>
    <w:rsid w:val="00BA1D39"/>
    <w:rsid w:val="00BA2053"/>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D81"/>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17"/>
    <w:rsid w:val="00BF76DF"/>
    <w:rsid w:val="00BF7CB5"/>
    <w:rsid w:val="00C01031"/>
    <w:rsid w:val="00C01384"/>
    <w:rsid w:val="00C01AF9"/>
    <w:rsid w:val="00C0274C"/>
    <w:rsid w:val="00C02F33"/>
    <w:rsid w:val="00C05B17"/>
    <w:rsid w:val="00C1090B"/>
    <w:rsid w:val="00C10DD0"/>
    <w:rsid w:val="00C13017"/>
    <w:rsid w:val="00C13FBE"/>
    <w:rsid w:val="00C141CA"/>
    <w:rsid w:val="00C14634"/>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B6A"/>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16E"/>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4E"/>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611"/>
    <w:rsid w:val="00CB6338"/>
    <w:rsid w:val="00CB76AA"/>
    <w:rsid w:val="00CB790E"/>
    <w:rsid w:val="00CC1407"/>
    <w:rsid w:val="00CC1BB1"/>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043"/>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5D3"/>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AFB"/>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26F"/>
    <w:rsid w:val="00DD35ED"/>
    <w:rsid w:val="00DD3B33"/>
    <w:rsid w:val="00DD4AEB"/>
    <w:rsid w:val="00DD694D"/>
    <w:rsid w:val="00DD72BD"/>
    <w:rsid w:val="00DD761B"/>
    <w:rsid w:val="00DE0079"/>
    <w:rsid w:val="00DE0517"/>
    <w:rsid w:val="00DE11DA"/>
    <w:rsid w:val="00DE3DC0"/>
    <w:rsid w:val="00DE4422"/>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6"/>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1E4B"/>
    <w:rsid w:val="00E554A3"/>
    <w:rsid w:val="00E56917"/>
    <w:rsid w:val="00E573C2"/>
    <w:rsid w:val="00E579FC"/>
    <w:rsid w:val="00E603D8"/>
    <w:rsid w:val="00E60CA5"/>
    <w:rsid w:val="00E6223B"/>
    <w:rsid w:val="00E62789"/>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5C6"/>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250"/>
    <w:rsid w:val="00EB2081"/>
    <w:rsid w:val="00EB2852"/>
    <w:rsid w:val="00EB2E05"/>
    <w:rsid w:val="00EB348F"/>
    <w:rsid w:val="00EB39B5"/>
    <w:rsid w:val="00EB55BA"/>
    <w:rsid w:val="00EB6D1F"/>
    <w:rsid w:val="00EB7AF0"/>
    <w:rsid w:val="00EB7FED"/>
    <w:rsid w:val="00EC0583"/>
    <w:rsid w:val="00EC0612"/>
    <w:rsid w:val="00EC079D"/>
    <w:rsid w:val="00EC0AB2"/>
    <w:rsid w:val="00EC20A7"/>
    <w:rsid w:val="00EC24B4"/>
    <w:rsid w:val="00EC2AE7"/>
    <w:rsid w:val="00EC2EDF"/>
    <w:rsid w:val="00EC3E75"/>
    <w:rsid w:val="00EC42A1"/>
    <w:rsid w:val="00EC523C"/>
    <w:rsid w:val="00EC675B"/>
    <w:rsid w:val="00EC7098"/>
    <w:rsid w:val="00ED095F"/>
    <w:rsid w:val="00ED208D"/>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FF0"/>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607"/>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CE1043"/>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CE1043"/>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semiHidden/>
    <w:unhideWhenUsed/>
    <w:rsid w:val="007E24B4"/>
    <w:pPr>
      <w:spacing w:before="0" w:after="0"/>
    </w:pPr>
    <w:rPr>
      <w:sz w:val="20"/>
      <w:szCs w:val="20"/>
    </w:rPr>
  </w:style>
  <w:style w:type="character" w:customStyle="1" w:styleId="FootnoteTextChar">
    <w:name w:val="Footnote Text Char"/>
    <w:basedOn w:val="DefaultParagraphFont"/>
    <w:link w:val="FootnoteText"/>
    <w:uiPriority w:val="99"/>
    <w:semiHidden/>
    <w:rsid w:val="007E24B4"/>
    <w:rPr>
      <w:sz w:val="20"/>
      <w:szCs w:val="20"/>
    </w:rPr>
  </w:style>
  <w:style w:type="character" w:styleId="FootnoteReference">
    <w:name w:val="footnote reference"/>
    <w:basedOn w:val="DefaultParagraphFont"/>
    <w:uiPriority w:val="99"/>
    <w:semiHidden/>
    <w:unhideWhenUsed/>
    <w:rsid w:val="007E24B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80992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eb.archive.org/web/20250711151312/https:/marchescarbone-carbonmarkets.canada.ca/en/public-registry" TargetMode="External" Id="rId26" /><Relationship Type="http://schemas.openxmlformats.org/officeDocument/2006/relationships/hyperlink" Target="https://web.archive.org/web/20250711145438/https:/www.canada.ca/en/environment-climate-change/services/climate-change/pricing-pollution-how-it-will-work/output-based-pricing-system/review.html" TargetMode="External" Id="rId21" /><Relationship Type="http://schemas.openxmlformats.org/officeDocument/2006/relationships/hyperlink" Target="https://www.fsb.org/uploads/P131022-1.pdf" TargetMode="Externa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eb.archive.org/web/20250711151039/https:/www.canada.ca/en/environment-climate-change/services/managing-pollution/energy-production/fuel-regulations/clean-fuel-regulations/compliance/credit-tracking-system-registration-faq.html" TargetMode="External" Id="rId25" /><Relationship Type="http://schemas.openxmlformats.org/officeDocument/2006/relationships/hyperlink" Target="https://www.bis.org/fsi/fsibriefs18.pdf" TargetMode="External" Id="rId33"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laws-lois.justice.gc.ca/eng/regulations/SOR-2019-266/FullText.html" TargetMode="External" Id="rId20" /><Relationship Type="http://schemas.openxmlformats.org/officeDocument/2006/relationships/hyperlink" Target="https://laws-lois.justice.gc.ca/eng/regulations/SOR-2019-266/section-41.1.html?txthl=compliance"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11150632/https:/www.canada.ca/en/environment-climate-change/services/climate-change/pricing-pollution-how-it-will-work/output-based-pricing-system/voluntary-participation-policy.html" TargetMode="External" Id="rId24" /><Relationship Type="http://schemas.openxmlformats.org/officeDocument/2006/relationships/hyperlink" Target="https://gazette.gc.ca/rp-pr/p2/2022/2022-06-08/html/sor-dors111-eng.html" TargetMode="External" Id="rId32" /><Relationship Type="http://schemas.openxmlformats.org/officeDocument/2006/relationships/theme" Target="theme/theme1.xml" Id="rId37"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eb.archive.org/web/20250711153844/https:/gazette.gc.ca/rp-pr/p2/2018/2018-10-31/html/sor-dors213-eng.html" TargetMode="External" Id="rId23" /><Relationship Type="http://schemas.openxmlformats.org/officeDocument/2006/relationships/hyperlink" Target="https://web.archive.org/web/20250711151908/https:/laws.justice.gc.ca/eng/acts/G-11.55/page-19.html" TargetMode="External" Id="rId28" /><Relationship Type="http://schemas.openxmlformats.org/officeDocument/2006/relationships/fontTable" Target="fontTable.xml" Id="rId36" /><Relationship Type="http://schemas.openxmlformats.org/officeDocument/2006/relationships/endnotes" Target="endnotes.xml" Id="rId10" /><Relationship Type="http://schemas.openxmlformats.org/officeDocument/2006/relationships/hyperlink" Target="https://www.canada.ca/en/environment-climate-change/services/climate-change/pricing-pollution-how-it-will-work/output-based-pricing-system.html" TargetMode="External" Id="rId19" /><Relationship Type="http://schemas.openxmlformats.org/officeDocument/2006/relationships/hyperlink" Target="https://web.archive.org/web/20250711153432/https:/www.canada.ca/en/environment-climate-change/services/climate-change/pricing-pollution-how-it-will-work/output-based-pricing-system/list-recognized-offset-programs-protocols.html"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publications.gc.ca/collections/collection_2024/eccc/en4/En4-645-2024-eng.pdf" TargetMode="External" Id="rId22" /><Relationship Type="http://schemas.openxmlformats.org/officeDocument/2006/relationships/hyperlink" Target="https://web.archive.org/web/20250711151706/https:/www.canada.ca/en/services/environment/weather/climatechange/climate-action/pricing-carbon-pollution/compliance-options-output-based-system.html" TargetMode="External" Id="rId27" /><Relationship Type="http://schemas.openxmlformats.org/officeDocument/2006/relationships/hyperlink" Target="https://web.archive.org/web/20250711152122/https:/www.publications.gc.ca/collections/collection_2022/eccc/En4-425-2022-eng.pdf" TargetMode="External" Id="rId30" /><Relationship Type="http://schemas.openxmlformats.org/officeDocument/2006/relationships/header" Target="header4.xml" Id="rId35"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TORYSATWORK!53427701.3</documentid>
  <senderid>EDONG</senderid>
  <senderemail>EDONG@TORYS.COM</senderemail>
  <lastmodified>2025-07-17T11:33:00.0000000-04:00</lastmodified>
  <database>TORYSATWORK</database>
</properties>
</file>

<file path=customXML/itemProps5.xml><?xml version="1.0" encoding="utf-8"?>
<ds:datastoreItem xmlns:ds="http://schemas.openxmlformats.org/officeDocument/2006/customXml" ds:itemID="{1C4ADD42-C00B-4EB1-A7FF-75CBBD552634}">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112</Pages>
  <Words>22271</Words>
  <Characters>131849</Characters>
  <Application>Microsoft Office Word</Application>
  <DocSecurity>0</DocSecurity>
  <Lines>8240</Lines>
  <Paragraphs>4816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Eric Dong</cp:lastModifiedBy>
  <cp:revision>4</cp:revision>
  <cp:lastPrinted>2025-03-21T00:14:00Z</cp:lastPrinted>
  <dcterms:created xsi:type="dcterms:W3CDTF">2025-07-17T15:33:00Z</dcterms:created>
  <dcterms:modified xsi:type="dcterms:W3CDTF">2025-07-17T15:33:00Z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53427701.3</vt:lpwstr>
  </property>
  <property fmtid="{D5CDD505-2E9C-101B-9397-08002B2CF9AE}" pid="5" name="CUS_DocIDChunk0">
    <vt:lpwstr>53427701.3</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